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7DBBB" w14:textId="520A7AFF" w:rsidR="00D51E4D" w:rsidRDefault="00D51E4D" w:rsidP="00D51E4D">
      <w:pPr>
        <w:jc w:val="center"/>
        <w:rPr>
          <w:rFonts w:ascii="Arial" w:hAnsi="Arial" w:cs="Arial"/>
          <w:b/>
          <w:bCs/>
          <w:sz w:val="24"/>
          <w:szCs w:val="24"/>
          <w:u w:val="single"/>
        </w:rPr>
      </w:pPr>
      <w:r w:rsidRPr="00D51E4D">
        <w:rPr>
          <w:rFonts w:ascii="Arial" w:hAnsi="Arial" w:cs="Arial"/>
          <w:b/>
          <w:bCs/>
          <w:sz w:val="24"/>
          <w:szCs w:val="24"/>
          <w:u w:val="single"/>
        </w:rPr>
        <w:t>PENSION BOARD 8 JULY 2021 – Late Material</w:t>
      </w:r>
    </w:p>
    <w:p w14:paraId="72649E21" w14:textId="6D83272F" w:rsidR="00D51E4D" w:rsidRDefault="00D51E4D" w:rsidP="00D51E4D">
      <w:pPr>
        <w:rPr>
          <w:rFonts w:ascii="Arial" w:hAnsi="Arial" w:cs="Arial"/>
          <w:b/>
          <w:bCs/>
          <w:sz w:val="24"/>
          <w:szCs w:val="24"/>
          <w:u w:val="single"/>
        </w:rPr>
      </w:pPr>
      <w:r>
        <w:rPr>
          <w:rFonts w:ascii="Arial" w:hAnsi="Arial" w:cs="Arial"/>
          <w:b/>
          <w:bCs/>
          <w:sz w:val="24"/>
          <w:szCs w:val="24"/>
          <w:u w:val="single"/>
        </w:rPr>
        <w:t>Agenda Item 9 – Review of Pension Fund Committee Meeting 24 June 2021</w:t>
      </w:r>
    </w:p>
    <w:p w14:paraId="5B831B87" w14:textId="6A30F6D6" w:rsidR="00D51E4D" w:rsidRDefault="00D51E4D" w:rsidP="00D51E4D">
      <w:pPr>
        <w:spacing w:after="0" w:line="240" w:lineRule="auto"/>
        <w:rPr>
          <w:rFonts w:ascii="Arial" w:hAnsi="Arial" w:cs="Arial"/>
          <w:b/>
          <w:bCs/>
          <w:sz w:val="24"/>
          <w:szCs w:val="24"/>
          <w:u w:val="single"/>
        </w:rPr>
      </w:pPr>
    </w:p>
    <w:p w14:paraId="737A5E90" w14:textId="66D5E53C" w:rsidR="00D51E4D" w:rsidRDefault="00D51E4D" w:rsidP="00D51E4D">
      <w:pPr>
        <w:spacing w:after="0" w:line="240" w:lineRule="auto"/>
        <w:rPr>
          <w:rFonts w:ascii="Arial" w:hAnsi="Arial" w:cs="Arial"/>
          <w:sz w:val="24"/>
          <w:szCs w:val="24"/>
        </w:rPr>
      </w:pPr>
      <w:r>
        <w:rPr>
          <w:rFonts w:ascii="Arial" w:hAnsi="Arial" w:cs="Arial"/>
          <w:sz w:val="24"/>
          <w:szCs w:val="24"/>
        </w:rPr>
        <w:t xml:space="preserve">The decisions of the Pension Fund Committee were unavailable at the time the agenda for this meeting was published. They are summarised below in </w:t>
      </w:r>
      <w:r w:rsidRPr="00D51E4D">
        <w:rPr>
          <w:rFonts w:ascii="Arial" w:hAnsi="Arial" w:cs="Arial"/>
          <w:b/>
          <w:bCs/>
          <w:sz w:val="24"/>
          <w:szCs w:val="24"/>
        </w:rPr>
        <w:t>Bold</w:t>
      </w:r>
      <w:r>
        <w:rPr>
          <w:rFonts w:ascii="Arial" w:hAnsi="Arial" w:cs="Arial"/>
          <w:sz w:val="24"/>
          <w:szCs w:val="24"/>
        </w:rPr>
        <w:t xml:space="preserve"> </w:t>
      </w:r>
      <w:proofErr w:type="gramStart"/>
      <w:r>
        <w:rPr>
          <w:rFonts w:ascii="Arial" w:hAnsi="Arial" w:cs="Arial"/>
          <w:sz w:val="24"/>
          <w:szCs w:val="24"/>
        </w:rPr>
        <w:t>type .</w:t>
      </w:r>
      <w:proofErr w:type="gramEnd"/>
    </w:p>
    <w:p w14:paraId="6325F327" w14:textId="41EE01B3" w:rsidR="00D51E4D" w:rsidRDefault="00D51E4D" w:rsidP="00D51E4D">
      <w:pPr>
        <w:spacing w:after="0" w:line="240" w:lineRule="auto"/>
        <w:rPr>
          <w:rFonts w:ascii="Arial" w:hAnsi="Arial" w:cs="Arial"/>
          <w:sz w:val="24"/>
          <w:szCs w:val="24"/>
        </w:rPr>
      </w:pPr>
    </w:p>
    <w:tbl>
      <w:tblPr>
        <w:tblStyle w:val="TableGrid"/>
        <w:tblW w:w="0" w:type="auto"/>
        <w:tblInd w:w="720" w:type="dxa"/>
        <w:tblLook w:val="04A0" w:firstRow="1" w:lastRow="0" w:firstColumn="1" w:lastColumn="0" w:noHBand="0" w:noVBand="1"/>
      </w:tblPr>
      <w:tblGrid>
        <w:gridCol w:w="2961"/>
        <w:gridCol w:w="4618"/>
      </w:tblGrid>
      <w:tr w:rsidR="00D51E4D" w:rsidRPr="005A6D20" w14:paraId="06B4465C" w14:textId="77777777" w:rsidTr="00E95D96">
        <w:tc>
          <w:tcPr>
            <w:tcW w:w="2961" w:type="dxa"/>
          </w:tcPr>
          <w:p w14:paraId="60E3D5B1" w14:textId="77777777" w:rsidR="00D51E4D" w:rsidRPr="00D51E4D" w:rsidRDefault="00D51E4D" w:rsidP="00E95D96">
            <w:pPr>
              <w:rPr>
                <w:rFonts w:ascii="Arial" w:hAnsi="Arial" w:cs="Arial"/>
                <w:b/>
                <w:sz w:val="24"/>
                <w:szCs w:val="24"/>
              </w:rPr>
            </w:pPr>
            <w:r w:rsidRPr="00D51E4D">
              <w:rPr>
                <w:rFonts w:ascii="Arial" w:hAnsi="Arial" w:cs="Arial"/>
                <w:b/>
                <w:sz w:val="24"/>
                <w:szCs w:val="24"/>
              </w:rPr>
              <w:t>Report</w:t>
            </w:r>
          </w:p>
        </w:tc>
        <w:tc>
          <w:tcPr>
            <w:tcW w:w="4618" w:type="dxa"/>
          </w:tcPr>
          <w:p w14:paraId="1F89DB71" w14:textId="77777777" w:rsidR="00D51E4D" w:rsidRPr="00D51E4D" w:rsidRDefault="00D51E4D" w:rsidP="00E95D96">
            <w:pPr>
              <w:rPr>
                <w:rFonts w:ascii="Arial" w:hAnsi="Arial" w:cs="Arial"/>
                <w:b/>
                <w:sz w:val="24"/>
                <w:szCs w:val="24"/>
              </w:rPr>
            </w:pPr>
            <w:r w:rsidRPr="00D51E4D">
              <w:rPr>
                <w:rFonts w:ascii="Arial" w:hAnsi="Arial" w:cs="Arial"/>
                <w:b/>
                <w:sz w:val="24"/>
                <w:szCs w:val="24"/>
              </w:rPr>
              <w:t>Comments</w:t>
            </w:r>
          </w:p>
        </w:tc>
      </w:tr>
      <w:tr w:rsidR="00D51E4D" w14:paraId="7987C39A" w14:textId="77777777" w:rsidTr="00E95D96">
        <w:tc>
          <w:tcPr>
            <w:tcW w:w="2961" w:type="dxa"/>
          </w:tcPr>
          <w:p w14:paraId="4CFBF5C3" w14:textId="77777777" w:rsidR="00D51E4D" w:rsidRPr="00D51E4D" w:rsidRDefault="00D51E4D" w:rsidP="00E95D96">
            <w:pPr>
              <w:rPr>
                <w:rFonts w:ascii="Arial" w:hAnsi="Arial" w:cs="Arial"/>
                <w:b/>
                <w:sz w:val="24"/>
                <w:szCs w:val="24"/>
              </w:rPr>
            </w:pPr>
            <w:r w:rsidRPr="00D51E4D">
              <w:rPr>
                <w:rFonts w:ascii="Arial" w:hAnsi="Arial" w:cs="Arial"/>
                <w:b/>
                <w:sz w:val="24"/>
                <w:szCs w:val="24"/>
              </w:rPr>
              <w:t>Part I</w:t>
            </w:r>
          </w:p>
        </w:tc>
        <w:tc>
          <w:tcPr>
            <w:tcW w:w="4618" w:type="dxa"/>
          </w:tcPr>
          <w:p w14:paraId="79101879" w14:textId="77777777" w:rsidR="00D51E4D" w:rsidRPr="00D51E4D" w:rsidRDefault="00D51E4D" w:rsidP="00E95D96">
            <w:pPr>
              <w:rPr>
                <w:rFonts w:ascii="Arial" w:hAnsi="Arial" w:cs="Arial"/>
                <w:bCs/>
                <w:sz w:val="24"/>
                <w:szCs w:val="24"/>
              </w:rPr>
            </w:pPr>
          </w:p>
        </w:tc>
      </w:tr>
      <w:tr w:rsidR="00D51E4D" w14:paraId="458C1CCE" w14:textId="77777777" w:rsidTr="00E95D96">
        <w:tc>
          <w:tcPr>
            <w:tcW w:w="2961" w:type="dxa"/>
          </w:tcPr>
          <w:p w14:paraId="6867EFA4" w14:textId="77777777" w:rsidR="00D51E4D" w:rsidRPr="00D51E4D" w:rsidRDefault="00D51E4D" w:rsidP="00E95D96">
            <w:pPr>
              <w:rPr>
                <w:rFonts w:ascii="Arial" w:hAnsi="Arial" w:cs="Arial"/>
                <w:sz w:val="24"/>
                <w:szCs w:val="24"/>
              </w:rPr>
            </w:pPr>
            <w:r w:rsidRPr="00D51E4D">
              <w:rPr>
                <w:rFonts w:ascii="Arial" w:hAnsi="Arial" w:cs="Arial"/>
                <w:sz w:val="24"/>
                <w:szCs w:val="24"/>
              </w:rPr>
              <w:t>Draft Pension Fund Accounts for 2020-21</w:t>
            </w:r>
          </w:p>
          <w:p w14:paraId="76615ACA" w14:textId="77777777" w:rsidR="00D51E4D" w:rsidRPr="00D51E4D" w:rsidRDefault="00D51E4D" w:rsidP="00E95D96">
            <w:pPr>
              <w:rPr>
                <w:rFonts w:ascii="Arial" w:hAnsi="Arial" w:cs="Arial"/>
                <w:bCs/>
                <w:sz w:val="24"/>
                <w:szCs w:val="24"/>
              </w:rPr>
            </w:pPr>
          </w:p>
        </w:tc>
        <w:tc>
          <w:tcPr>
            <w:tcW w:w="4618" w:type="dxa"/>
          </w:tcPr>
          <w:p w14:paraId="0FE4ED06" w14:textId="0B32D78A" w:rsidR="00D51E4D" w:rsidRPr="00D51E4D" w:rsidRDefault="00D51E4D" w:rsidP="00E95D96">
            <w:pPr>
              <w:rPr>
                <w:rFonts w:ascii="Arial" w:hAnsi="Arial" w:cs="Arial"/>
                <w:bCs/>
                <w:sz w:val="24"/>
                <w:szCs w:val="24"/>
              </w:rPr>
            </w:pPr>
            <w:r w:rsidRPr="00D51E4D">
              <w:rPr>
                <w:rFonts w:ascii="Arial" w:hAnsi="Arial" w:cs="Arial"/>
                <w:bCs/>
                <w:sz w:val="24"/>
                <w:szCs w:val="24"/>
              </w:rPr>
              <w:t xml:space="preserve">The Committee </w:t>
            </w:r>
            <w:r>
              <w:rPr>
                <w:rFonts w:ascii="Arial" w:hAnsi="Arial" w:cs="Arial"/>
                <w:bCs/>
                <w:sz w:val="24"/>
                <w:szCs w:val="24"/>
              </w:rPr>
              <w:t xml:space="preserve">was </w:t>
            </w:r>
            <w:r w:rsidRPr="00D51E4D">
              <w:rPr>
                <w:rFonts w:ascii="Arial" w:hAnsi="Arial" w:cs="Arial"/>
                <w:bCs/>
                <w:sz w:val="24"/>
                <w:szCs w:val="24"/>
              </w:rPr>
              <w:t>recommended to approve the draft accounts for submission to the external auditor.</w:t>
            </w:r>
          </w:p>
          <w:p w14:paraId="286FB16A" w14:textId="77777777" w:rsidR="00D51E4D" w:rsidRDefault="00D51E4D" w:rsidP="00E95D96">
            <w:pPr>
              <w:rPr>
                <w:rFonts w:ascii="Arial" w:hAnsi="Arial" w:cs="Arial"/>
                <w:bCs/>
                <w:sz w:val="24"/>
                <w:szCs w:val="24"/>
              </w:rPr>
            </w:pPr>
            <w:r w:rsidRPr="00D51E4D">
              <w:rPr>
                <w:rFonts w:ascii="Arial" w:hAnsi="Arial" w:cs="Arial"/>
                <w:bCs/>
                <w:sz w:val="24"/>
                <w:szCs w:val="24"/>
              </w:rPr>
              <w:t>They are reported elsewhere on the agenda for this meeting.</w:t>
            </w:r>
          </w:p>
          <w:p w14:paraId="54930425" w14:textId="38FE5E2A" w:rsidR="00D51E4D" w:rsidRDefault="00D51E4D" w:rsidP="00E95D96">
            <w:pPr>
              <w:rPr>
                <w:rFonts w:ascii="Arial" w:hAnsi="Arial" w:cs="Arial"/>
                <w:bCs/>
                <w:sz w:val="24"/>
                <w:szCs w:val="24"/>
              </w:rPr>
            </w:pPr>
          </w:p>
          <w:p w14:paraId="116F4DF3" w14:textId="2EE47ECE" w:rsidR="00D51E4D" w:rsidRPr="00D51E4D" w:rsidRDefault="00D51E4D" w:rsidP="00E95D96">
            <w:pPr>
              <w:rPr>
                <w:rFonts w:ascii="Arial" w:hAnsi="Arial" w:cs="Arial"/>
                <w:b/>
                <w:sz w:val="24"/>
                <w:szCs w:val="24"/>
              </w:rPr>
            </w:pPr>
            <w:r w:rsidRPr="00D51E4D">
              <w:rPr>
                <w:rFonts w:ascii="Arial" w:hAnsi="Arial" w:cs="Arial"/>
                <w:b/>
                <w:sz w:val="24"/>
                <w:szCs w:val="24"/>
              </w:rPr>
              <w:t xml:space="preserve">After asking </w:t>
            </w:r>
            <w:proofErr w:type="gramStart"/>
            <w:r w:rsidRPr="00D51E4D">
              <w:rPr>
                <w:rFonts w:ascii="Arial" w:hAnsi="Arial" w:cs="Arial"/>
                <w:b/>
                <w:sz w:val="24"/>
                <w:szCs w:val="24"/>
              </w:rPr>
              <w:t>a number of</w:t>
            </w:r>
            <w:proofErr w:type="gramEnd"/>
            <w:r w:rsidRPr="00D51E4D">
              <w:rPr>
                <w:rFonts w:ascii="Arial" w:hAnsi="Arial" w:cs="Arial"/>
                <w:b/>
                <w:sz w:val="24"/>
                <w:szCs w:val="24"/>
              </w:rPr>
              <w:t xml:space="preserve"> questions, the Committee approved the draft accounts for submission to the auditor. </w:t>
            </w:r>
          </w:p>
          <w:p w14:paraId="5C65B98C" w14:textId="2712E2CC" w:rsidR="00D51E4D" w:rsidRPr="00D51E4D" w:rsidRDefault="00D51E4D" w:rsidP="00E95D96">
            <w:pPr>
              <w:rPr>
                <w:rFonts w:ascii="Arial" w:hAnsi="Arial" w:cs="Arial"/>
                <w:bCs/>
                <w:sz w:val="24"/>
                <w:szCs w:val="24"/>
              </w:rPr>
            </w:pPr>
          </w:p>
        </w:tc>
      </w:tr>
      <w:tr w:rsidR="00D51E4D" w14:paraId="060BD21E" w14:textId="77777777" w:rsidTr="00E95D96">
        <w:tc>
          <w:tcPr>
            <w:tcW w:w="2961" w:type="dxa"/>
          </w:tcPr>
          <w:p w14:paraId="2B39E8B9" w14:textId="77777777" w:rsidR="00D51E4D" w:rsidRPr="00D51E4D" w:rsidRDefault="00D51E4D" w:rsidP="00E95D96">
            <w:pPr>
              <w:rPr>
                <w:rFonts w:ascii="Arial" w:hAnsi="Arial" w:cs="Arial"/>
                <w:bCs/>
                <w:sz w:val="24"/>
                <w:szCs w:val="24"/>
              </w:rPr>
            </w:pPr>
            <w:r w:rsidRPr="00D51E4D">
              <w:rPr>
                <w:rFonts w:ascii="Arial" w:hAnsi="Arial" w:cs="Arial"/>
                <w:bCs/>
                <w:sz w:val="24"/>
                <w:szCs w:val="24"/>
              </w:rPr>
              <w:t xml:space="preserve">Review of Internal Controls at Investment managers </w:t>
            </w:r>
          </w:p>
          <w:p w14:paraId="67A1CB89" w14:textId="77777777" w:rsidR="00D51E4D" w:rsidRPr="00D51E4D" w:rsidRDefault="00D51E4D" w:rsidP="00E95D96">
            <w:pPr>
              <w:rPr>
                <w:rFonts w:ascii="Arial" w:hAnsi="Arial" w:cs="Arial"/>
                <w:bCs/>
                <w:sz w:val="24"/>
                <w:szCs w:val="24"/>
              </w:rPr>
            </w:pPr>
          </w:p>
        </w:tc>
        <w:tc>
          <w:tcPr>
            <w:tcW w:w="4618" w:type="dxa"/>
          </w:tcPr>
          <w:p w14:paraId="450A27CD" w14:textId="79B50157" w:rsidR="00D51E4D" w:rsidRPr="00D51E4D" w:rsidRDefault="00D51E4D" w:rsidP="00E95D96">
            <w:pPr>
              <w:rPr>
                <w:rFonts w:ascii="Arial" w:hAnsi="Arial" w:cs="Arial"/>
                <w:bCs/>
                <w:sz w:val="24"/>
                <w:szCs w:val="24"/>
              </w:rPr>
            </w:pPr>
            <w:r w:rsidRPr="00D51E4D">
              <w:rPr>
                <w:rFonts w:ascii="Arial" w:hAnsi="Arial" w:cs="Arial"/>
                <w:bCs/>
                <w:sz w:val="24"/>
                <w:szCs w:val="24"/>
              </w:rPr>
              <w:t xml:space="preserve">The Committee </w:t>
            </w:r>
            <w:r>
              <w:rPr>
                <w:rFonts w:ascii="Arial" w:hAnsi="Arial" w:cs="Arial"/>
                <w:bCs/>
                <w:sz w:val="24"/>
                <w:szCs w:val="24"/>
              </w:rPr>
              <w:t>wa</w:t>
            </w:r>
            <w:r w:rsidRPr="00D51E4D">
              <w:rPr>
                <w:rFonts w:ascii="Arial" w:hAnsi="Arial" w:cs="Arial"/>
                <w:bCs/>
                <w:sz w:val="24"/>
                <w:szCs w:val="24"/>
              </w:rPr>
              <w:t>s asked to note the position and ask questions as necessary.</w:t>
            </w:r>
          </w:p>
          <w:p w14:paraId="31A5C5EE" w14:textId="78FF8476" w:rsidR="00D51E4D" w:rsidRDefault="00D51E4D" w:rsidP="00E95D96">
            <w:pPr>
              <w:rPr>
                <w:rFonts w:ascii="Arial" w:hAnsi="Arial" w:cs="Arial"/>
                <w:bCs/>
                <w:sz w:val="24"/>
                <w:szCs w:val="24"/>
              </w:rPr>
            </w:pPr>
            <w:r w:rsidRPr="00D51E4D">
              <w:rPr>
                <w:rFonts w:ascii="Arial" w:hAnsi="Arial" w:cs="Arial"/>
                <w:bCs/>
                <w:sz w:val="24"/>
                <w:szCs w:val="24"/>
              </w:rPr>
              <w:t>The report appears elsewhere on the agenda for this meeting.</w:t>
            </w:r>
            <w:r>
              <w:rPr>
                <w:rFonts w:ascii="Arial" w:hAnsi="Arial" w:cs="Arial"/>
                <w:bCs/>
                <w:sz w:val="24"/>
                <w:szCs w:val="24"/>
              </w:rPr>
              <w:t xml:space="preserve"> </w:t>
            </w:r>
          </w:p>
          <w:p w14:paraId="7D8990B5" w14:textId="13AC1CA9" w:rsidR="00D51E4D" w:rsidRDefault="00D51E4D" w:rsidP="00E95D96">
            <w:pPr>
              <w:rPr>
                <w:rFonts w:ascii="Arial" w:hAnsi="Arial" w:cs="Arial"/>
                <w:bCs/>
                <w:sz w:val="24"/>
                <w:szCs w:val="24"/>
              </w:rPr>
            </w:pPr>
          </w:p>
          <w:p w14:paraId="4CD436C4" w14:textId="79DDEE1D" w:rsidR="006E7677" w:rsidRPr="006E7677" w:rsidRDefault="006E7677" w:rsidP="00E95D96">
            <w:pPr>
              <w:rPr>
                <w:rFonts w:ascii="Arial" w:hAnsi="Arial" w:cs="Arial"/>
                <w:b/>
                <w:sz w:val="24"/>
                <w:szCs w:val="24"/>
              </w:rPr>
            </w:pPr>
            <w:r w:rsidRPr="006E7677">
              <w:rPr>
                <w:rFonts w:ascii="Arial" w:hAnsi="Arial" w:cs="Arial"/>
                <w:b/>
                <w:sz w:val="24"/>
                <w:szCs w:val="24"/>
              </w:rPr>
              <w:t xml:space="preserve">After asking </w:t>
            </w:r>
            <w:proofErr w:type="gramStart"/>
            <w:r w:rsidRPr="006E7677">
              <w:rPr>
                <w:rFonts w:ascii="Arial" w:hAnsi="Arial" w:cs="Arial"/>
                <w:b/>
                <w:sz w:val="24"/>
                <w:szCs w:val="24"/>
              </w:rPr>
              <w:t>a number of</w:t>
            </w:r>
            <w:proofErr w:type="gramEnd"/>
            <w:r w:rsidRPr="006E7677">
              <w:rPr>
                <w:rFonts w:ascii="Arial" w:hAnsi="Arial" w:cs="Arial"/>
                <w:b/>
                <w:sz w:val="24"/>
                <w:szCs w:val="24"/>
              </w:rPr>
              <w:t xml:space="preserve"> questions the Committee noted the report. Officers agreed to request </w:t>
            </w:r>
            <w:r>
              <w:rPr>
                <w:rFonts w:ascii="Arial" w:hAnsi="Arial" w:cs="Arial"/>
                <w:b/>
                <w:sz w:val="24"/>
                <w:szCs w:val="24"/>
              </w:rPr>
              <w:t>further information about when audits are to be carried out</w:t>
            </w:r>
            <w:r w:rsidRPr="006E7677">
              <w:rPr>
                <w:rFonts w:ascii="Arial" w:hAnsi="Arial" w:cs="Arial"/>
                <w:b/>
                <w:sz w:val="24"/>
                <w:szCs w:val="24"/>
              </w:rPr>
              <w:t xml:space="preserve"> from those managers which had provided bridging letters covering the whole of 2020-21.  </w:t>
            </w:r>
          </w:p>
          <w:p w14:paraId="7F5A489B" w14:textId="77777777" w:rsidR="00D51E4D" w:rsidRPr="00D51E4D" w:rsidRDefault="00D51E4D" w:rsidP="00E95D96">
            <w:pPr>
              <w:rPr>
                <w:rFonts w:ascii="Arial" w:hAnsi="Arial" w:cs="Arial"/>
                <w:b/>
                <w:sz w:val="24"/>
                <w:szCs w:val="24"/>
              </w:rPr>
            </w:pPr>
          </w:p>
          <w:p w14:paraId="3FA708DD" w14:textId="77777777" w:rsidR="00D51E4D" w:rsidRPr="00D51E4D" w:rsidRDefault="00D51E4D" w:rsidP="00E95D96">
            <w:pPr>
              <w:rPr>
                <w:rFonts w:ascii="Arial" w:hAnsi="Arial" w:cs="Arial"/>
                <w:bCs/>
                <w:sz w:val="24"/>
                <w:szCs w:val="24"/>
              </w:rPr>
            </w:pPr>
          </w:p>
        </w:tc>
      </w:tr>
      <w:tr w:rsidR="00D51E4D" w14:paraId="41FF1320" w14:textId="77777777" w:rsidTr="00E95D96">
        <w:tc>
          <w:tcPr>
            <w:tcW w:w="2961" w:type="dxa"/>
          </w:tcPr>
          <w:p w14:paraId="0E88757C" w14:textId="77777777" w:rsidR="00D51E4D" w:rsidRPr="00D51E4D" w:rsidRDefault="00D51E4D" w:rsidP="00E95D96">
            <w:pPr>
              <w:rPr>
                <w:rFonts w:ascii="Arial" w:hAnsi="Arial" w:cs="Arial"/>
                <w:bCs/>
                <w:sz w:val="24"/>
                <w:szCs w:val="24"/>
              </w:rPr>
            </w:pPr>
            <w:r w:rsidRPr="00D51E4D">
              <w:rPr>
                <w:rFonts w:ascii="Arial" w:hAnsi="Arial" w:cs="Arial"/>
                <w:bCs/>
                <w:sz w:val="24"/>
                <w:szCs w:val="24"/>
              </w:rPr>
              <w:t>Review of Pension Fund Risk register</w:t>
            </w:r>
          </w:p>
        </w:tc>
        <w:tc>
          <w:tcPr>
            <w:tcW w:w="4618" w:type="dxa"/>
          </w:tcPr>
          <w:p w14:paraId="240FCC72" w14:textId="02ADF3A6" w:rsidR="00D51E4D" w:rsidRPr="00D51E4D" w:rsidRDefault="00D51E4D" w:rsidP="00E95D96">
            <w:pPr>
              <w:rPr>
                <w:rFonts w:ascii="Arial" w:hAnsi="Arial" w:cs="Arial"/>
                <w:bCs/>
                <w:sz w:val="24"/>
                <w:szCs w:val="24"/>
              </w:rPr>
            </w:pPr>
            <w:r w:rsidRPr="00D51E4D">
              <w:rPr>
                <w:rFonts w:ascii="Arial" w:hAnsi="Arial" w:cs="Arial"/>
                <w:bCs/>
                <w:sz w:val="24"/>
                <w:szCs w:val="24"/>
              </w:rPr>
              <w:t xml:space="preserve">The Committee </w:t>
            </w:r>
            <w:r>
              <w:rPr>
                <w:rFonts w:ascii="Arial" w:hAnsi="Arial" w:cs="Arial"/>
                <w:bCs/>
                <w:sz w:val="24"/>
                <w:szCs w:val="24"/>
              </w:rPr>
              <w:t>wa</w:t>
            </w:r>
            <w:r w:rsidRPr="00D51E4D">
              <w:rPr>
                <w:rFonts w:ascii="Arial" w:hAnsi="Arial" w:cs="Arial"/>
                <w:bCs/>
                <w:sz w:val="24"/>
                <w:szCs w:val="24"/>
              </w:rPr>
              <w:t xml:space="preserve">s asked to note and approve the changes to the Risk Register. </w:t>
            </w:r>
          </w:p>
          <w:p w14:paraId="0D230650" w14:textId="6668CA72" w:rsidR="00D51E4D" w:rsidRDefault="00D51E4D" w:rsidP="00E95D96">
            <w:pPr>
              <w:rPr>
                <w:rFonts w:ascii="Arial" w:hAnsi="Arial" w:cs="Arial"/>
                <w:bCs/>
                <w:sz w:val="24"/>
                <w:szCs w:val="24"/>
              </w:rPr>
            </w:pPr>
            <w:r w:rsidRPr="00D51E4D">
              <w:rPr>
                <w:rFonts w:ascii="Arial" w:hAnsi="Arial" w:cs="Arial"/>
                <w:bCs/>
                <w:sz w:val="24"/>
                <w:szCs w:val="24"/>
              </w:rPr>
              <w:t>The report appears elsewhere on the agenda for this meeting.</w:t>
            </w:r>
          </w:p>
          <w:p w14:paraId="5D2B5886" w14:textId="0AF18A65" w:rsidR="00D51E4D" w:rsidRDefault="00D51E4D" w:rsidP="00E95D96">
            <w:pPr>
              <w:rPr>
                <w:rFonts w:ascii="Arial" w:hAnsi="Arial" w:cs="Arial"/>
                <w:bCs/>
                <w:sz w:val="24"/>
                <w:szCs w:val="24"/>
              </w:rPr>
            </w:pPr>
          </w:p>
          <w:p w14:paraId="6F56E9EE" w14:textId="279B915E" w:rsidR="006E7677" w:rsidRPr="006E7677" w:rsidRDefault="006E7677" w:rsidP="00E95D96">
            <w:pPr>
              <w:rPr>
                <w:rFonts w:ascii="Arial" w:hAnsi="Arial" w:cs="Arial"/>
                <w:b/>
                <w:sz w:val="24"/>
                <w:szCs w:val="24"/>
              </w:rPr>
            </w:pPr>
            <w:r w:rsidRPr="006E7677">
              <w:rPr>
                <w:rFonts w:ascii="Arial" w:hAnsi="Arial" w:cs="Arial"/>
                <w:b/>
                <w:sz w:val="24"/>
                <w:szCs w:val="24"/>
              </w:rPr>
              <w:t>The updated risk register was noted and a</w:t>
            </w:r>
            <w:r w:rsidR="005D6ABD">
              <w:rPr>
                <w:rFonts w:ascii="Arial" w:hAnsi="Arial" w:cs="Arial"/>
                <w:b/>
                <w:sz w:val="24"/>
                <w:szCs w:val="24"/>
              </w:rPr>
              <w:t>pproved</w:t>
            </w:r>
            <w:r w:rsidRPr="006E7677">
              <w:rPr>
                <w:rFonts w:ascii="Arial" w:hAnsi="Arial" w:cs="Arial"/>
                <w:b/>
                <w:sz w:val="24"/>
                <w:szCs w:val="24"/>
              </w:rPr>
              <w:t>.</w:t>
            </w:r>
          </w:p>
          <w:p w14:paraId="13B5D6D3" w14:textId="77777777" w:rsidR="00D51E4D" w:rsidRPr="00D51E4D" w:rsidRDefault="00D51E4D" w:rsidP="00E95D96">
            <w:pPr>
              <w:rPr>
                <w:rFonts w:ascii="Arial" w:hAnsi="Arial" w:cs="Arial"/>
                <w:bCs/>
                <w:sz w:val="24"/>
                <w:szCs w:val="24"/>
              </w:rPr>
            </w:pPr>
            <w:r w:rsidRPr="00D51E4D">
              <w:rPr>
                <w:rFonts w:ascii="Arial" w:hAnsi="Arial" w:cs="Arial"/>
                <w:bCs/>
                <w:sz w:val="24"/>
                <w:szCs w:val="24"/>
              </w:rPr>
              <w:t xml:space="preserve"> </w:t>
            </w:r>
          </w:p>
        </w:tc>
      </w:tr>
      <w:tr w:rsidR="00D51E4D" w14:paraId="56D24745" w14:textId="77777777" w:rsidTr="00E95D96">
        <w:tc>
          <w:tcPr>
            <w:tcW w:w="2961" w:type="dxa"/>
          </w:tcPr>
          <w:p w14:paraId="718D8E7C" w14:textId="77777777" w:rsidR="00D51E4D" w:rsidRPr="00D51E4D" w:rsidRDefault="00D51E4D" w:rsidP="00E95D96">
            <w:pPr>
              <w:rPr>
                <w:rFonts w:ascii="Arial" w:hAnsi="Arial" w:cs="Arial"/>
                <w:bCs/>
                <w:sz w:val="24"/>
                <w:szCs w:val="24"/>
              </w:rPr>
            </w:pPr>
            <w:r w:rsidRPr="00D51E4D">
              <w:rPr>
                <w:rFonts w:ascii="Arial" w:hAnsi="Arial" w:cs="Arial"/>
                <w:sz w:val="24"/>
                <w:szCs w:val="24"/>
              </w:rPr>
              <w:t>Performance Dashboard and Update on Regular items</w:t>
            </w:r>
          </w:p>
        </w:tc>
        <w:tc>
          <w:tcPr>
            <w:tcW w:w="4618" w:type="dxa"/>
          </w:tcPr>
          <w:p w14:paraId="5EA01F69" w14:textId="056CE446" w:rsidR="00D51E4D" w:rsidRDefault="00D51E4D" w:rsidP="00E95D96">
            <w:pPr>
              <w:rPr>
                <w:rFonts w:ascii="Arial" w:hAnsi="Arial" w:cs="Arial"/>
                <w:bCs/>
                <w:sz w:val="24"/>
                <w:szCs w:val="24"/>
              </w:rPr>
            </w:pPr>
            <w:r w:rsidRPr="00D51E4D">
              <w:rPr>
                <w:rFonts w:ascii="Arial" w:hAnsi="Arial" w:cs="Arial"/>
                <w:bCs/>
                <w:sz w:val="24"/>
                <w:szCs w:val="24"/>
              </w:rPr>
              <w:t>The Committee consider</w:t>
            </w:r>
            <w:r w:rsidR="005D6ABD">
              <w:rPr>
                <w:rFonts w:ascii="Arial" w:hAnsi="Arial" w:cs="Arial"/>
                <w:bCs/>
                <w:sz w:val="24"/>
                <w:szCs w:val="24"/>
              </w:rPr>
              <w:t>ed</w:t>
            </w:r>
            <w:r w:rsidRPr="00D51E4D">
              <w:rPr>
                <w:rFonts w:ascii="Arial" w:hAnsi="Arial" w:cs="Arial"/>
                <w:bCs/>
                <w:sz w:val="24"/>
                <w:szCs w:val="24"/>
              </w:rPr>
              <w:t xml:space="preserve"> the report, which summarises the position of the Fund at the end of Q1 2021 (31 March 2021), and the Investment Valuation at 30 April 2021, and to agree the draft work programme for the Committee for the rest of the 2021-22 municipal year. </w:t>
            </w:r>
          </w:p>
          <w:p w14:paraId="1A0F41EE" w14:textId="5660FF5B" w:rsidR="006E7677" w:rsidRDefault="006E7677" w:rsidP="00E95D96">
            <w:pPr>
              <w:rPr>
                <w:rFonts w:ascii="Arial" w:hAnsi="Arial" w:cs="Arial"/>
                <w:bCs/>
                <w:sz w:val="24"/>
                <w:szCs w:val="24"/>
              </w:rPr>
            </w:pPr>
          </w:p>
          <w:p w14:paraId="6231333A" w14:textId="358296E4" w:rsidR="006E7677" w:rsidRDefault="006E7677" w:rsidP="00E95D96">
            <w:pPr>
              <w:rPr>
                <w:rFonts w:ascii="Arial" w:hAnsi="Arial" w:cs="Arial"/>
                <w:b/>
                <w:sz w:val="24"/>
                <w:szCs w:val="24"/>
              </w:rPr>
            </w:pPr>
            <w:r>
              <w:rPr>
                <w:rFonts w:ascii="Arial" w:hAnsi="Arial" w:cs="Arial"/>
                <w:b/>
                <w:sz w:val="24"/>
                <w:szCs w:val="24"/>
              </w:rPr>
              <w:t xml:space="preserve">After asking a number of questions, including some “manager specific ones” in respect of the exempt enclosures in Part II, the Committee noted the report, approved the draft work programme for the remainder of 2021-22 with the addition of a “manager day” </w:t>
            </w:r>
            <w:r w:rsidR="005D6ABD">
              <w:rPr>
                <w:rFonts w:ascii="Arial" w:hAnsi="Arial" w:cs="Arial"/>
                <w:b/>
                <w:sz w:val="24"/>
                <w:szCs w:val="24"/>
              </w:rPr>
              <w:t>to be arranged for a suitable date in November 2021.</w:t>
            </w:r>
            <w:r>
              <w:rPr>
                <w:rFonts w:ascii="Arial" w:hAnsi="Arial" w:cs="Arial"/>
                <w:b/>
                <w:sz w:val="24"/>
                <w:szCs w:val="24"/>
              </w:rPr>
              <w:t xml:space="preserve"> </w:t>
            </w:r>
          </w:p>
          <w:p w14:paraId="6DE38596" w14:textId="3FD87430" w:rsidR="00056817" w:rsidRPr="006E7677" w:rsidRDefault="00056817" w:rsidP="00E95D96">
            <w:pPr>
              <w:rPr>
                <w:rFonts w:ascii="Arial" w:hAnsi="Arial" w:cs="Arial"/>
                <w:b/>
                <w:sz w:val="24"/>
                <w:szCs w:val="24"/>
              </w:rPr>
            </w:pPr>
            <w:r>
              <w:rPr>
                <w:rFonts w:ascii="Arial" w:hAnsi="Arial" w:cs="Arial"/>
                <w:b/>
                <w:sz w:val="24"/>
                <w:szCs w:val="24"/>
              </w:rPr>
              <w:t xml:space="preserve">Officers were also asked to liaise with LCIV regarding reporting on the carbon intensity of the investment portfolio. </w:t>
            </w:r>
          </w:p>
          <w:p w14:paraId="3FE1DC6E" w14:textId="77777777" w:rsidR="00D51E4D" w:rsidRPr="00D51E4D" w:rsidRDefault="00D51E4D" w:rsidP="00E95D96">
            <w:pPr>
              <w:rPr>
                <w:rFonts w:ascii="Arial" w:hAnsi="Arial" w:cs="Arial"/>
                <w:bCs/>
                <w:sz w:val="24"/>
                <w:szCs w:val="24"/>
              </w:rPr>
            </w:pPr>
          </w:p>
        </w:tc>
      </w:tr>
      <w:tr w:rsidR="00D51E4D" w14:paraId="146A8B69" w14:textId="77777777" w:rsidTr="00E95D96">
        <w:tc>
          <w:tcPr>
            <w:tcW w:w="2961" w:type="dxa"/>
          </w:tcPr>
          <w:p w14:paraId="5C04FDB4" w14:textId="77777777" w:rsidR="00D51E4D" w:rsidRPr="00D51E4D" w:rsidRDefault="00D51E4D" w:rsidP="00E95D96">
            <w:pPr>
              <w:rPr>
                <w:rFonts w:ascii="Arial" w:hAnsi="Arial" w:cs="Arial"/>
                <w:b/>
                <w:sz w:val="24"/>
                <w:szCs w:val="24"/>
              </w:rPr>
            </w:pPr>
            <w:r w:rsidRPr="00D51E4D">
              <w:rPr>
                <w:rFonts w:ascii="Arial" w:hAnsi="Arial" w:cs="Arial"/>
                <w:b/>
                <w:sz w:val="24"/>
                <w:szCs w:val="24"/>
              </w:rPr>
              <w:lastRenderedPageBreak/>
              <w:t>Part II</w:t>
            </w:r>
          </w:p>
        </w:tc>
        <w:tc>
          <w:tcPr>
            <w:tcW w:w="4618" w:type="dxa"/>
          </w:tcPr>
          <w:p w14:paraId="4685C1D9" w14:textId="77777777" w:rsidR="00D51E4D" w:rsidRPr="00D51E4D" w:rsidRDefault="00D51E4D" w:rsidP="00E95D96">
            <w:pPr>
              <w:rPr>
                <w:rFonts w:ascii="Arial" w:hAnsi="Arial" w:cs="Arial"/>
                <w:bCs/>
                <w:sz w:val="24"/>
                <w:szCs w:val="24"/>
              </w:rPr>
            </w:pPr>
          </w:p>
        </w:tc>
      </w:tr>
      <w:tr w:rsidR="00D51E4D" w14:paraId="7E76259B" w14:textId="77777777" w:rsidTr="00E95D96">
        <w:tc>
          <w:tcPr>
            <w:tcW w:w="2961" w:type="dxa"/>
          </w:tcPr>
          <w:p w14:paraId="5672EBFF" w14:textId="77777777" w:rsidR="00D51E4D" w:rsidRPr="00D51E4D" w:rsidRDefault="00D51E4D" w:rsidP="00E95D96">
            <w:pPr>
              <w:rPr>
                <w:rFonts w:ascii="Arial" w:hAnsi="Arial" w:cs="Arial"/>
                <w:bCs/>
                <w:sz w:val="24"/>
                <w:szCs w:val="24"/>
              </w:rPr>
            </w:pPr>
            <w:r w:rsidRPr="00D51E4D">
              <w:rPr>
                <w:rFonts w:ascii="Arial" w:hAnsi="Arial" w:cs="Arial"/>
                <w:bCs/>
                <w:sz w:val="24"/>
                <w:szCs w:val="24"/>
              </w:rPr>
              <w:t>Investment Strategy Review</w:t>
            </w:r>
          </w:p>
        </w:tc>
        <w:tc>
          <w:tcPr>
            <w:tcW w:w="4618" w:type="dxa"/>
          </w:tcPr>
          <w:p w14:paraId="11D47FF7" w14:textId="3547ACD6" w:rsidR="00D51E4D" w:rsidRDefault="00D51E4D" w:rsidP="00E95D96">
            <w:pPr>
              <w:rPr>
                <w:rFonts w:ascii="Arial" w:hAnsi="Arial" w:cs="Arial"/>
                <w:sz w:val="24"/>
                <w:szCs w:val="24"/>
              </w:rPr>
            </w:pPr>
            <w:r w:rsidRPr="00D51E4D">
              <w:rPr>
                <w:rFonts w:ascii="Arial" w:hAnsi="Arial" w:cs="Arial"/>
                <w:sz w:val="24"/>
                <w:szCs w:val="24"/>
              </w:rPr>
              <w:t>The Committee consider</w:t>
            </w:r>
            <w:r w:rsidR="005D6ABD">
              <w:rPr>
                <w:rFonts w:ascii="Arial" w:hAnsi="Arial" w:cs="Arial"/>
                <w:sz w:val="24"/>
                <w:szCs w:val="24"/>
              </w:rPr>
              <w:t xml:space="preserve">ed </w:t>
            </w:r>
            <w:r w:rsidRPr="00D51E4D">
              <w:rPr>
                <w:rFonts w:ascii="Arial" w:hAnsi="Arial" w:cs="Arial"/>
                <w:sz w:val="24"/>
                <w:szCs w:val="24"/>
              </w:rPr>
              <w:t xml:space="preserve">a confidential report by the Director of Finance and Assurance, with Appendices prepared by Aon, on the next stages of the Investment Strategy Review, and </w:t>
            </w:r>
            <w:r w:rsidR="005D6ABD">
              <w:rPr>
                <w:rFonts w:ascii="Arial" w:hAnsi="Arial" w:cs="Arial"/>
                <w:sz w:val="24"/>
                <w:szCs w:val="24"/>
              </w:rPr>
              <w:t>was</w:t>
            </w:r>
            <w:r w:rsidRPr="00D51E4D">
              <w:rPr>
                <w:rFonts w:ascii="Arial" w:hAnsi="Arial" w:cs="Arial"/>
                <w:sz w:val="24"/>
                <w:szCs w:val="24"/>
              </w:rPr>
              <w:t xml:space="preserve"> asked approve recommendations to progress the Review further.   </w:t>
            </w:r>
          </w:p>
          <w:p w14:paraId="19BE6290" w14:textId="37D7F977" w:rsidR="005D6ABD" w:rsidRDefault="005D6ABD" w:rsidP="00E95D96">
            <w:pPr>
              <w:rPr>
                <w:rFonts w:ascii="Arial" w:hAnsi="Arial" w:cs="Arial"/>
                <w:bCs/>
                <w:sz w:val="24"/>
                <w:szCs w:val="24"/>
              </w:rPr>
            </w:pPr>
          </w:p>
          <w:p w14:paraId="738A2B2F" w14:textId="5E902BD3" w:rsidR="005D6ABD" w:rsidRPr="005D6ABD" w:rsidRDefault="005D6ABD" w:rsidP="00E95D96">
            <w:pPr>
              <w:rPr>
                <w:rFonts w:ascii="Arial" w:hAnsi="Arial" w:cs="Arial"/>
                <w:b/>
                <w:sz w:val="24"/>
                <w:szCs w:val="24"/>
              </w:rPr>
            </w:pPr>
            <w:r w:rsidRPr="005D6ABD">
              <w:rPr>
                <w:rFonts w:ascii="Arial" w:hAnsi="Arial" w:cs="Arial"/>
                <w:b/>
                <w:sz w:val="24"/>
                <w:szCs w:val="24"/>
              </w:rPr>
              <w:t>After detailed discussions, the Committee approved the following</w:t>
            </w:r>
          </w:p>
          <w:p w14:paraId="5BEE2FFE" w14:textId="46579F7E" w:rsidR="005D6ABD" w:rsidRDefault="003215D6" w:rsidP="005D6ABD">
            <w:pPr>
              <w:pStyle w:val="ListParagraph"/>
              <w:numPr>
                <w:ilvl w:val="0"/>
                <w:numId w:val="1"/>
              </w:numPr>
              <w:rPr>
                <w:rFonts w:ascii="Arial" w:hAnsi="Arial" w:cs="Arial"/>
                <w:b/>
                <w:sz w:val="24"/>
                <w:szCs w:val="24"/>
              </w:rPr>
            </w:pPr>
            <w:r>
              <w:rPr>
                <w:rFonts w:ascii="Arial" w:hAnsi="Arial" w:cs="Arial"/>
                <w:b/>
                <w:sz w:val="24"/>
                <w:szCs w:val="24"/>
              </w:rPr>
              <w:t>In regard to the LCIV MAC Fund, to advise the London CIV that the Committee’s preference</w:t>
            </w:r>
            <w:r w:rsidR="00056817">
              <w:rPr>
                <w:rFonts w:ascii="Arial" w:hAnsi="Arial" w:cs="Arial"/>
                <w:b/>
                <w:sz w:val="24"/>
                <w:szCs w:val="24"/>
              </w:rPr>
              <w:t>, should the option be available, is</w:t>
            </w:r>
            <w:r>
              <w:rPr>
                <w:rFonts w:ascii="Arial" w:hAnsi="Arial" w:cs="Arial"/>
                <w:b/>
                <w:sz w:val="24"/>
                <w:szCs w:val="24"/>
              </w:rPr>
              <w:t xml:space="preserve"> </w:t>
            </w:r>
            <w:r w:rsidR="00056817">
              <w:rPr>
                <w:rFonts w:ascii="Arial" w:hAnsi="Arial" w:cs="Arial"/>
                <w:b/>
                <w:sz w:val="24"/>
                <w:szCs w:val="24"/>
              </w:rPr>
              <w:t xml:space="preserve">to move to the LCIV Alternative Credit Fund rather than remain in the LCIV MAC Fund with the addition of a second manager – the concerns being the impact of the proposed second manager on the duration characteristics of the MAC Fund, and the potential overlap with the LCIV Global Bond Fund. </w:t>
            </w:r>
          </w:p>
          <w:p w14:paraId="2A8E709A" w14:textId="096A6752" w:rsidR="00056817" w:rsidRDefault="00056817" w:rsidP="005D6ABD">
            <w:pPr>
              <w:pStyle w:val="ListParagraph"/>
              <w:numPr>
                <w:ilvl w:val="0"/>
                <w:numId w:val="1"/>
              </w:numPr>
              <w:rPr>
                <w:rFonts w:ascii="Arial" w:hAnsi="Arial" w:cs="Arial"/>
                <w:b/>
                <w:sz w:val="24"/>
                <w:szCs w:val="24"/>
              </w:rPr>
            </w:pPr>
            <w:r>
              <w:rPr>
                <w:rFonts w:ascii="Arial" w:hAnsi="Arial" w:cs="Arial"/>
                <w:b/>
                <w:sz w:val="24"/>
                <w:szCs w:val="24"/>
              </w:rPr>
              <w:t>The allocation of 5% of the Fund’s assets (£50million) to the LCIV Renewables Fund to be funded from the overweight position in the DGF managed by Insight</w:t>
            </w:r>
          </w:p>
          <w:p w14:paraId="3EAEED26" w14:textId="5FB59463" w:rsidR="00E32880" w:rsidRDefault="00056817" w:rsidP="005D6ABD">
            <w:pPr>
              <w:pStyle w:val="ListParagraph"/>
              <w:numPr>
                <w:ilvl w:val="0"/>
                <w:numId w:val="1"/>
              </w:numPr>
              <w:rPr>
                <w:rFonts w:ascii="Arial" w:hAnsi="Arial" w:cs="Arial"/>
                <w:b/>
                <w:sz w:val="24"/>
                <w:szCs w:val="24"/>
              </w:rPr>
            </w:pPr>
            <w:r>
              <w:rPr>
                <w:rFonts w:ascii="Arial" w:hAnsi="Arial" w:cs="Arial"/>
                <w:b/>
                <w:sz w:val="24"/>
                <w:szCs w:val="24"/>
              </w:rPr>
              <w:lastRenderedPageBreak/>
              <w:t>To advise LCIV that in regard to the LCIV Global Equity Focus Fund</w:t>
            </w:r>
            <w:r w:rsidR="00E32880">
              <w:rPr>
                <w:rFonts w:ascii="Arial" w:hAnsi="Arial" w:cs="Arial"/>
                <w:b/>
                <w:sz w:val="24"/>
                <w:szCs w:val="24"/>
              </w:rPr>
              <w:t>, that t</w:t>
            </w:r>
            <w:r>
              <w:rPr>
                <w:rFonts w:ascii="Arial" w:hAnsi="Arial" w:cs="Arial"/>
                <w:b/>
                <w:sz w:val="24"/>
                <w:szCs w:val="24"/>
              </w:rPr>
              <w:t xml:space="preserve">he </w:t>
            </w:r>
            <w:r w:rsidR="00E32880">
              <w:rPr>
                <w:rFonts w:ascii="Arial" w:hAnsi="Arial" w:cs="Arial"/>
                <w:b/>
                <w:sz w:val="24"/>
                <w:szCs w:val="24"/>
              </w:rPr>
              <w:t>Committee</w:t>
            </w:r>
            <w:r>
              <w:rPr>
                <w:rFonts w:ascii="Arial" w:hAnsi="Arial" w:cs="Arial"/>
                <w:b/>
                <w:sz w:val="24"/>
                <w:szCs w:val="24"/>
              </w:rPr>
              <w:t xml:space="preserve"> remained supportive of retaining </w:t>
            </w:r>
            <w:r w:rsidR="00E32880">
              <w:rPr>
                <w:rFonts w:ascii="Arial" w:hAnsi="Arial" w:cs="Arial"/>
                <w:b/>
                <w:sz w:val="24"/>
                <w:szCs w:val="24"/>
              </w:rPr>
              <w:t>Longview as manager, and that should the CIV’s current review result in a replacement manager, that any replacement would need to have a similar strategic fit with the rest of the Fund’s equity portfolio, and that the Committee would not be supportive of a performance fee arrangement with any manager.</w:t>
            </w:r>
          </w:p>
          <w:p w14:paraId="2D4D08A9" w14:textId="4F126C58" w:rsidR="00056817" w:rsidRPr="005D6ABD" w:rsidRDefault="00E32880" w:rsidP="005D6ABD">
            <w:pPr>
              <w:pStyle w:val="ListParagraph"/>
              <w:numPr>
                <w:ilvl w:val="0"/>
                <w:numId w:val="1"/>
              </w:numPr>
              <w:rPr>
                <w:rFonts w:ascii="Arial" w:hAnsi="Arial" w:cs="Arial"/>
                <w:b/>
                <w:sz w:val="24"/>
                <w:szCs w:val="24"/>
              </w:rPr>
            </w:pPr>
            <w:r>
              <w:rPr>
                <w:rFonts w:ascii="Arial" w:hAnsi="Arial" w:cs="Arial"/>
                <w:b/>
                <w:sz w:val="24"/>
                <w:szCs w:val="24"/>
              </w:rPr>
              <w:t xml:space="preserve">Officers and Aon should continue the dialogue with LPPI / Berkshire </w:t>
            </w:r>
            <w:proofErr w:type="gramStart"/>
            <w:r>
              <w:rPr>
                <w:rFonts w:ascii="Arial" w:hAnsi="Arial" w:cs="Arial"/>
                <w:b/>
                <w:sz w:val="24"/>
                <w:szCs w:val="24"/>
              </w:rPr>
              <w:t>in regard to</w:t>
            </w:r>
            <w:proofErr w:type="gramEnd"/>
            <w:r>
              <w:rPr>
                <w:rFonts w:ascii="Arial" w:hAnsi="Arial" w:cs="Arial"/>
                <w:b/>
                <w:sz w:val="24"/>
                <w:szCs w:val="24"/>
              </w:rPr>
              <w:t xml:space="preserve"> the LaSalle Property Fund.  </w:t>
            </w:r>
          </w:p>
          <w:p w14:paraId="397B74B2" w14:textId="5038A316" w:rsidR="005D6ABD" w:rsidRPr="005D6ABD" w:rsidRDefault="005D6ABD" w:rsidP="00E95D96">
            <w:pPr>
              <w:rPr>
                <w:rFonts w:ascii="Arial" w:hAnsi="Arial" w:cs="Arial"/>
                <w:b/>
                <w:sz w:val="24"/>
                <w:szCs w:val="24"/>
              </w:rPr>
            </w:pPr>
          </w:p>
          <w:p w14:paraId="203DD08B" w14:textId="77777777" w:rsidR="00D51E4D" w:rsidRPr="00D51E4D" w:rsidRDefault="00D51E4D" w:rsidP="00E95D96">
            <w:pPr>
              <w:rPr>
                <w:rFonts w:ascii="Arial" w:hAnsi="Arial" w:cs="Arial"/>
                <w:bCs/>
                <w:sz w:val="24"/>
                <w:szCs w:val="24"/>
              </w:rPr>
            </w:pPr>
          </w:p>
        </w:tc>
      </w:tr>
    </w:tbl>
    <w:p w14:paraId="62C40465" w14:textId="77777777" w:rsidR="00D51E4D" w:rsidRPr="00D51E4D" w:rsidRDefault="00D51E4D" w:rsidP="00D51E4D">
      <w:pPr>
        <w:spacing w:after="0" w:line="240" w:lineRule="auto"/>
        <w:rPr>
          <w:rFonts w:ascii="Arial" w:hAnsi="Arial" w:cs="Arial"/>
          <w:sz w:val="24"/>
          <w:szCs w:val="24"/>
        </w:rPr>
      </w:pPr>
    </w:p>
    <w:p w14:paraId="7DF67955" w14:textId="77777777" w:rsidR="00D51E4D" w:rsidRDefault="00D51E4D" w:rsidP="00D51E4D">
      <w:pPr>
        <w:rPr>
          <w:rFonts w:ascii="Arial" w:hAnsi="Arial" w:cs="Arial"/>
          <w:b/>
          <w:bCs/>
          <w:sz w:val="24"/>
          <w:szCs w:val="24"/>
          <w:u w:val="single"/>
        </w:rPr>
      </w:pPr>
    </w:p>
    <w:p w14:paraId="28B9AA65" w14:textId="77777777" w:rsidR="00D51E4D" w:rsidRPr="00D51E4D" w:rsidRDefault="00D51E4D" w:rsidP="00D51E4D">
      <w:pPr>
        <w:rPr>
          <w:rFonts w:ascii="Arial" w:hAnsi="Arial" w:cs="Arial"/>
          <w:b/>
          <w:bCs/>
          <w:sz w:val="24"/>
          <w:szCs w:val="24"/>
          <w:u w:val="single"/>
        </w:rPr>
      </w:pPr>
    </w:p>
    <w:sectPr w:rsidR="00D51E4D" w:rsidRPr="00D51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76F4A"/>
    <w:multiLevelType w:val="hybridMultilevel"/>
    <w:tmpl w:val="44E45580"/>
    <w:lvl w:ilvl="0" w:tplc="FA22A5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4D"/>
    <w:rsid w:val="00056817"/>
    <w:rsid w:val="001E6DE8"/>
    <w:rsid w:val="003215D6"/>
    <w:rsid w:val="005D6ABD"/>
    <w:rsid w:val="006E7677"/>
    <w:rsid w:val="00D51E4D"/>
    <w:rsid w:val="00E32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8D4F"/>
  <w15:chartTrackingRefBased/>
  <w15:docId w15:val="{C165176D-7844-4885-8870-F49AC146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1E4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Randall</dc:creator>
  <cp:keywords/>
  <dc:description/>
  <cp:lastModifiedBy>Jeremy Randall</cp:lastModifiedBy>
  <cp:revision>1</cp:revision>
  <dcterms:created xsi:type="dcterms:W3CDTF">2021-07-06T10:30:00Z</dcterms:created>
  <dcterms:modified xsi:type="dcterms:W3CDTF">2021-07-06T11:41:00Z</dcterms:modified>
</cp:coreProperties>
</file>